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98" w:rsidRDefault="00D956C8">
      <w:pPr>
        <w:jc w:val="center"/>
        <w:rPr>
          <w:rFonts w:eastAsia="隶书"/>
          <w:color w:val="FF0000"/>
          <w:sz w:val="160"/>
        </w:rPr>
      </w:pPr>
      <w:r>
        <w:rPr>
          <w:rFonts w:eastAsia="隶书" w:hint="eastAsia"/>
          <w:color w:val="FF0000"/>
          <w:sz w:val="160"/>
        </w:rPr>
        <w:t>简</w:t>
      </w:r>
      <w:r>
        <w:rPr>
          <w:rFonts w:eastAsia="隶书" w:hint="eastAsia"/>
          <w:color w:val="FF0000"/>
          <w:sz w:val="160"/>
        </w:rPr>
        <w:t xml:space="preserve">  </w:t>
      </w:r>
      <w:r>
        <w:rPr>
          <w:rFonts w:eastAsia="隶书" w:hint="eastAsia"/>
          <w:color w:val="FF0000"/>
          <w:sz w:val="160"/>
        </w:rPr>
        <w:t>报</w:t>
      </w:r>
    </w:p>
    <w:p w:rsidR="00BC7298" w:rsidRDefault="00BC7298">
      <w:pPr>
        <w:rPr>
          <w:rFonts w:ascii="仿宋_GB2312" w:eastAsia="隶书"/>
          <w:color w:val="FF0000"/>
          <w:sz w:val="30"/>
        </w:rPr>
      </w:pPr>
    </w:p>
    <w:p w:rsidR="00BC7298" w:rsidRDefault="00D956C8">
      <w:pPr>
        <w:jc w:val="center"/>
        <w:rPr>
          <w:rFonts w:ascii="仿宋_GB2312" w:eastAsia="仿宋_GB2312"/>
          <w:color w:val="FF0000"/>
          <w:sz w:val="30"/>
        </w:rPr>
      </w:pPr>
      <w:r>
        <w:rPr>
          <w:rFonts w:ascii="仿宋_GB2312" w:eastAsia="仿宋_GB2312" w:hint="eastAsia"/>
          <w:color w:val="FF0000"/>
          <w:sz w:val="30"/>
        </w:rPr>
        <w:t xml:space="preserve"> </w:t>
      </w:r>
    </w:p>
    <w:p w:rsidR="00BC7298" w:rsidRDefault="00D956C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第五期</w:t>
      </w:r>
    </w:p>
    <w:p w:rsidR="00BC7298" w:rsidRDefault="00D956C8">
      <w:pPr>
        <w:jc w:val="left"/>
        <w:rPr>
          <w:b/>
          <w:bCs/>
          <w:sz w:val="30"/>
          <w:szCs w:val="30"/>
        </w:rPr>
      </w:pPr>
      <w:r>
        <w:rPr>
          <w:rFonts w:ascii="仿宋_GB2312" w:eastAsia="仿宋_GB2312" w:hint="eastAsia"/>
          <w:color w:val="FF0000"/>
          <w:sz w:val="30"/>
          <w:u w:val="single"/>
        </w:rPr>
        <w:t xml:space="preserve">北京期货商会          </w:t>
      </w:r>
      <w:r>
        <w:rPr>
          <w:rFonts w:ascii="仿宋_GB2312" w:eastAsia="仿宋_GB2312"/>
          <w:color w:val="FF0000"/>
          <w:sz w:val="30"/>
          <w:u w:val="single"/>
        </w:rPr>
        <w:t xml:space="preserve">   </w:t>
      </w:r>
      <w:r>
        <w:rPr>
          <w:rFonts w:ascii="仿宋_GB2312" w:eastAsia="仿宋_GB2312" w:hint="eastAsia"/>
          <w:color w:val="FF0000"/>
          <w:sz w:val="30"/>
          <w:u w:val="single"/>
        </w:rPr>
        <w:t xml:space="preserve"> </w:t>
      </w:r>
      <w:r>
        <w:rPr>
          <w:rFonts w:ascii="仿宋_GB2312" w:eastAsia="仿宋_GB2312"/>
          <w:color w:val="FF0000"/>
          <w:sz w:val="30"/>
          <w:u w:val="single"/>
        </w:rPr>
        <w:t xml:space="preserve">     </w:t>
      </w:r>
      <w:r>
        <w:rPr>
          <w:rFonts w:ascii="仿宋_GB2312" w:eastAsia="仿宋_GB2312" w:hint="eastAsia"/>
          <w:color w:val="FF0000"/>
          <w:sz w:val="30"/>
          <w:u w:val="single"/>
        </w:rPr>
        <w:t xml:space="preserve">         </w:t>
      </w:r>
      <w:r>
        <w:rPr>
          <w:rFonts w:ascii="仿宋_GB2312" w:eastAsia="仿宋_GB2312"/>
          <w:color w:val="FF0000"/>
          <w:sz w:val="30"/>
          <w:u w:val="single"/>
        </w:rPr>
        <w:t>20</w:t>
      </w:r>
      <w:r>
        <w:rPr>
          <w:rFonts w:ascii="仿宋_GB2312" w:eastAsia="仿宋_GB2312" w:hint="eastAsia"/>
          <w:color w:val="FF0000"/>
          <w:sz w:val="30"/>
          <w:u w:val="single"/>
        </w:rPr>
        <w:t>20年9月17日</w:t>
      </w:r>
    </w:p>
    <w:p w:rsidR="00BC7298" w:rsidRDefault="00BC7298">
      <w:pPr>
        <w:rPr>
          <w:b/>
          <w:bCs/>
          <w:sz w:val="36"/>
          <w:szCs w:val="36"/>
        </w:rPr>
      </w:pPr>
    </w:p>
    <w:p w:rsidR="00E442DB" w:rsidRDefault="00D956C8">
      <w:pPr>
        <w:jc w:val="center"/>
        <w:rPr>
          <w:b/>
          <w:bCs/>
          <w:sz w:val="36"/>
          <w:szCs w:val="36"/>
        </w:rPr>
      </w:pPr>
      <w:r>
        <w:rPr>
          <w:rFonts w:hint="eastAsia"/>
          <w:b/>
          <w:bCs/>
          <w:sz w:val="36"/>
          <w:szCs w:val="36"/>
        </w:rPr>
        <w:t>2020</w:t>
      </w:r>
      <w:r>
        <w:rPr>
          <w:rFonts w:hint="eastAsia"/>
          <w:b/>
          <w:bCs/>
          <w:sz w:val="36"/>
          <w:szCs w:val="36"/>
        </w:rPr>
        <w:t>年北京</w:t>
      </w:r>
      <w:r w:rsidR="00E442DB">
        <w:rPr>
          <w:rFonts w:hint="eastAsia"/>
          <w:b/>
          <w:bCs/>
          <w:sz w:val="36"/>
          <w:szCs w:val="36"/>
        </w:rPr>
        <w:t>地区</w:t>
      </w:r>
      <w:r>
        <w:rPr>
          <w:rFonts w:hint="eastAsia"/>
          <w:b/>
          <w:bCs/>
          <w:sz w:val="36"/>
          <w:szCs w:val="36"/>
        </w:rPr>
        <w:t>期货公司首席风险官培训交流会</w:t>
      </w:r>
    </w:p>
    <w:p w:rsidR="00BC7298" w:rsidRDefault="00E442DB">
      <w:pPr>
        <w:jc w:val="center"/>
        <w:rPr>
          <w:b/>
          <w:bCs/>
          <w:sz w:val="36"/>
          <w:szCs w:val="36"/>
        </w:rPr>
      </w:pPr>
      <w:r>
        <w:rPr>
          <w:rFonts w:hint="eastAsia"/>
          <w:b/>
          <w:bCs/>
          <w:sz w:val="36"/>
          <w:szCs w:val="36"/>
        </w:rPr>
        <w:t>在京成功举办</w:t>
      </w:r>
    </w:p>
    <w:p w:rsidR="00BC7298" w:rsidRDefault="00BC7298">
      <w:pPr>
        <w:jc w:val="center"/>
        <w:rPr>
          <w:b/>
          <w:bCs/>
          <w:sz w:val="32"/>
          <w:szCs w:val="32"/>
        </w:rPr>
      </w:pPr>
    </w:p>
    <w:p w:rsidR="00BC7298" w:rsidRDefault="00D956C8" w:rsidP="00DD6C85">
      <w:pPr>
        <w:ind w:firstLineChars="200" w:firstLine="560"/>
        <w:rPr>
          <w:rFonts w:ascii="宋体" w:eastAsia="宋体" w:hAnsi="宋体" w:cs="宋体"/>
          <w:spacing w:val="8"/>
          <w:sz w:val="28"/>
          <w:szCs w:val="28"/>
        </w:rPr>
      </w:pPr>
      <w:r>
        <w:rPr>
          <w:rFonts w:ascii="宋体" w:eastAsia="宋体" w:hAnsi="宋体" w:cs="宋体" w:hint="eastAsia"/>
          <w:sz w:val="28"/>
          <w:szCs w:val="28"/>
        </w:rPr>
        <w:t>2020年以来，新冠疫情导致资本市场剧烈波动，期货公司经营管理面临新的机遇与挑战。如何通过分类评价工作促进自身合规发展，如何在新形势下进一步开展投资者保护工作，成为期货公司首席风险官思考的重要内容。为此，北京期货商会于</w:t>
      </w:r>
      <w:r w:rsidR="00DD6C85">
        <w:rPr>
          <w:rFonts w:ascii="宋体" w:eastAsia="宋体" w:hAnsi="宋体" w:cs="宋体" w:hint="eastAsia"/>
          <w:sz w:val="28"/>
          <w:szCs w:val="28"/>
        </w:rPr>
        <w:t>近日</w:t>
      </w:r>
      <w:r>
        <w:rPr>
          <w:rFonts w:ascii="宋体" w:eastAsia="宋体" w:hAnsi="宋体" w:cs="宋体" w:hint="eastAsia"/>
          <w:sz w:val="28"/>
          <w:szCs w:val="28"/>
        </w:rPr>
        <w:t>举办“2020年北京期货公司首席风险官培训交流会”，北京证监局机构二处参加了此次培训，</w:t>
      </w:r>
      <w:r w:rsidR="00BC7844">
        <w:rPr>
          <w:rFonts w:ascii="宋体" w:eastAsia="宋体" w:hAnsi="宋体" w:cs="宋体" w:hint="eastAsia"/>
          <w:sz w:val="28"/>
          <w:szCs w:val="28"/>
        </w:rPr>
        <w:t>中国期货业协会常年法律顾问于学会律师和银河期货公司首席风险官韩笑冰先生</w:t>
      </w:r>
      <w:r>
        <w:rPr>
          <w:rFonts w:ascii="宋体" w:eastAsia="宋体" w:hAnsi="宋体" w:cs="宋体" w:hint="eastAsia"/>
          <w:sz w:val="28"/>
          <w:szCs w:val="28"/>
        </w:rPr>
        <w:t>分别</w:t>
      </w:r>
      <w:r w:rsidR="00BC7844">
        <w:rPr>
          <w:rFonts w:ascii="宋体" w:eastAsia="宋体" w:hAnsi="宋体" w:cs="宋体" w:hint="eastAsia"/>
          <w:sz w:val="28"/>
          <w:szCs w:val="28"/>
        </w:rPr>
        <w:t>从</w:t>
      </w:r>
      <w:r>
        <w:rPr>
          <w:rFonts w:ascii="宋体" w:eastAsia="宋体" w:hAnsi="宋体" w:cs="宋体" w:hint="eastAsia"/>
          <w:sz w:val="28"/>
          <w:szCs w:val="28"/>
        </w:rPr>
        <w:t>投资者保护工作</w:t>
      </w:r>
      <w:r w:rsidR="00BC7844">
        <w:rPr>
          <w:rFonts w:ascii="宋体" w:eastAsia="宋体" w:hAnsi="宋体" w:cs="宋体" w:hint="eastAsia"/>
          <w:sz w:val="28"/>
          <w:szCs w:val="28"/>
        </w:rPr>
        <w:t>和期货机构</w:t>
      </w:r>
      <w:r>
        <w:rPr>
          <w:rFonts w:ascii="宋体" w:eastAsia="宋体" w:hAnsi="宋体" w:cs="宋体" w:hint="eastAsia"/>
          <w:sz w:val="28"/>
          <w:szCs w:val="28"/>
        </w:rPr>
        <w:t>分类评价</w:t>
      </w:r>
      <w:r w:rsidR="00BC7844">
        <w:rPr>
          <w:rFonts w:ascii="宋体" w:eastAsia="宋体" w:hAnsi="宋体" w:cs="宋体" w:hint="eastAsia"/>
          <w:sz w:val="28"/>
          <w:szCs w:val="28"/>
        </w:rPr>
        <w:t>做主题发言</w:t>
      </w:r>
      <w:r>
        <w:rPr>
          <w:rFonts w:ascii="宋体" w:eastAsia="宋体" w:hAnsi="宋体" w:cs="宋体" w:hint="eastAsia"/>
          <w:sz w:val="28"/>
          <w:szCs w:val="28"/>
        </w:rPr>
        <w:t>。</w:t>
      </w:r>
    </w:p>
    <w:p w:rsidR="00BC7298" w:rsidRPr="00B64648" w:rsidRDefault="00BC7844">
      <w:pPr>
        <w:pStyle w:val="a3"/>
        <w:widowControl/>
        <w:shd w:val="clear" w:color="auto" w:fill="FFFFFF"/>
        <w:spacing w:beforeAutospacing="0" w:afterAutospacing="0" w:line="368" w:lineRule="atLeast"/>
        <w:ind w:firstLineChars="200" w:firstLine="560"/>
        <w:jc w:val="both"/>
        <w:rPr>
          <w:rFonts w:ascii="宋体" w:eastAsia="宋体" w:hAnsi="宋体" w:cs="宋体"/>
          <w:kern w:val="2"/>
          <w:sz w:val="28"/>
          <w:szCs w:val="28"/>
        </w:rPr>
      </w:pPr>
      <w:r>
        <w:rPr>
          <w:rFonts w:ascii="宋体" w:eastAsia="宋体" w:hAnsi="宋体" w:cs="宋体" w:hint="eastAsia"/>
          <w:kern w:val="2"/>
          <w:sz w:val="28"/>
          <w:szCs w:val="28"/>
        </w:rPr>
        <w:t>于</w:t>
      </w:r>
      <w:r w:rsidR="00DD6C85" w:rsidRPr="00B64648">
        <w:rPr>
          <w:rFonts w:ascii="宋体" w:eastAsia="宋体" w:hAnsi="宋体" w:cs="宋体" w:hint="eastAsia"/>
          <w:kern w:val="2"/>
          <w:sz w:val="28"/>
          <w:szCs w:val="28"/>
        </w:rPr>
        <w:t>律师</w:t>
      </w:r>
      <w:r w:rsidR="0068768F">
        <w:rPr>
          <w:rFonts w:ascii="宋体" w:eastAsia="宋体" w:hAnsi="宋体" w:cs="宋体" w:hint="eastAsia"/>
          <w:kern w:val="2"/>
          <w:sz w:val="28"/>
          <w:szCs w:val="28"/>
        </w:rPr>
        <w:t>在梳理“原油宝”</w:t>
      </w:r>
      <w:r w:rsidR="009B4C18">
        <w:rPr>
          <w:rFonts w:ascii="宋体" w:eastAsia="宋体" w:hAnsi="宋体" w:cs="宋体" w:hint="eastAsia"/>
          <w:kern w:val="2"/>
          <w:sz w:val="28"/>
          <w:szCs w:val="28"/>
        </w:rPr>
        <w:t>事件基础上指出该产品在适当性业务履行方面存在</w:t>
      </w:r>
      <w:r w:rsidR="00E442DB">
        <w:rPr>
          <w:rFonts w:ascii="宋体" w:eastAsia="宋体" w:hAnsi="宋体" w:cs="宋体" w:hint="eastAsia"/>
          <w:kern w:val="2"/>
          <w:sz w:val="28"/>
          <w:szCs w:val="28"/>
        </w:rPr>
        <w:t>一定</w:t>
      </w:r>
      <w:r w:rsidR="0068768F">
        <w:rPr>
          <w:rFonts w:ascii="宋体" w:eastAsia="宋体" w:hAnsi="宋体" w:cs="宋体" w:hint="eastAsia"/>
          <w:kern w:val="2"/>
          <w:sz w:val="28"/>
          <w:szCs w:val="28"/>
        </w:rPr>
        <w:t>缺陷</w:t>
      </w:r>
      <w:r w:rsidR="009B4C18">
        <w:rPr>
          <w:rFonts w:ascii="宋体" w:eastAsia="宋体" w:hAnsi="宋体" w:cs="宋体" w:hint="eastAsia"/>
          <w:kern w:val="2"/>
          <w:sz w:val="28"/>
          <w:szCs w:val="28"/>
        </w:rPr>
        <w:t>，结合2</w:t>
      </w:r>
      <w:r w:rsidR="009B4C18">
        <w:rPr>
          <w:rFonts w:ascii="宋体" w:eastAsia="宋体" w:hAnsi="宋体" w:cs="宋体"/>
          <w:kern w:val="2"/>
          <w:sz w:val="28"/>
          <w:szCs w:val="28"/>
        </w:rPr>
        <w:t>019年</w:t>
      </w:r>
      <w:r w:rsidR="009B4C18">
        <w:rPr>
          <w:rFonts w:ascii="宋体" w:eastAsia="宋体" w:hAnsi="宋体" w:cs="宋体" w:hint="eastAsia"/>
          <w:kern w:val="2"/>
          <w:sz w:val="28"/>
          <w:szCs w:val="28"/>
        </w:rPr>
        <w:t>1</w:t>
      </w:r>
      <w:r w:rsidR="009B4C18">
        <w:rPr>
          <w:rFonts w:ascii="宋体" w:eastAsia="宋体" w:hAnsi="宋体" w:cs="宋体"/>
          <w:kern w:val="2"/>
          <w:sz w:val="28"/>
          <w:szCs w:val="28"/>
        </w:rPr>
        <w:t>1月</w:t>
      </w:r>
      <w:r w:rsidR="009B4C18">
        <w:rPr>
          <w:rFonts w:ascii="宋体" w:eastAsia="宋体" w:hAnsi="宋体" w:cs="宋体" w:hint="eastAsia"/>
          <w:kern w:val="2"/>
          <w:sz w:val="28"/>
          <w:szCs w:val="28"/>
        </w:rPr>
        <w:t>1</w:t>
      </w:r>
      <w:r w:rsidR="009B4C18">
        <w:rPr>
          <w:rFonts w:ascii="宋体" w:eastAsia="宋体" w:hAnsi="宋体" w:cs="宋体"/>
          <w:kern w:val="2"/>
          <w:sz w:val="28"/>
          <w:szCs w:val="28"/>
        </w:rPr>
        <w:t>4日最高人民法院发布的</w:t>
      </w:r>
      <w:r w:rsidR="009B4C18">
        <w:rPr>
          <w:rFonts w:ascii="宋体" w:eastAsia="宋体" w:hAnsi="宋体" w:cs="宋体" w:hint="eastAsia"/>
          <w:kern w:val="2"/>
          <w:sz w:val="28"/>
          <w:szCs w:val="28"/>
        </w:rPr>
        <w:t>《全国法院民商事审判工作会议纪要》</w:t>
      </w:r>
      <w:r w:rsidR="00E442DB">
        <w:rPr>
          <w:rFonts w:ascii="宋体" w:eastAsia="宋体" w:hAnsi="宋体" w:cs="宋体" w:hint="eastAsia"/>
          <w:kern w:val="2"/>
          <w:sz w:val="28"/>
          <w:szCs w:val="28"/>
        </w:rPr>
        <w:t>强调：</w:t>
      </w:r>
      <w:r w:rsidR="009B4C18">
        <w:rPr>
          <w:rFonts w:ascii="宋体" w:eastAsia="宋体" w:hAnsi="宋体" w:cs="宋体" w:hint="eastAsia"/>
          <w:kern w:val="2"/>
          <w:sz w:val="28"/>
          <w:szCs w:val="28"/>
        </w:rPr>
        <w:t>适当性业务是指将适当</w:t>
      </w:r>
      <w:r w:rsidR="009B4C18">
        <w:rPr>
          <w:rFonts w:ascii="宋体" w:eastAsia="宋体" w:hAnsi="宋体" w:cs="宋体" w:hint="eastAsia"/>
          <w:kern w:val="2"/>
          <w:sz w:val="28"/>
          <w:szCs w:val="28"/>
        </w:rPr>
        <w:lastRenderedPageBreak/>
        <w:t>的产品（或者服务）销售（或者提供）给适合的金融消费者，“卖者尽责”是“买者自负”的前提和基础。</w:t>
      </w:r>
      <w:r w:rsidR="00E442DB">
        <w:rPr>
          <w:rFonts w:ascii="宋体" w:eastAsia="宋体" w:hAnsi="宋体" w:cs="宋体" w:hint="eastAsia"/>
          <w:kern w:val="2"/>
          <w:sz w:val="28"/>
          <w:szCs w:val="28"/>
        </w:rPr>
        <w:t>并</w:t>
      </w:r>
      <w:r w:rsidR="009B4C18">
        <w:rPr>
          <w:rFonts w:ascii="宋体" w:eastAsia="宋体" w:hAnsi="宋体" w:cs="宋体" w:hint="eastAsia"/>
          <w:kern w:val="2"/>
          <w:sz w:val="28"/>
          <w:szCs w:val="28"/>
        </w:rPr>
        <w:t>援引最高人民法院副院长刘贵</w:t>
      </w:r>
      <w:r w:rsidR="006274BF">
        <w:rPr>
          <w:rFonts w:ascii="宋体" w:eastAsia="宋体" w:hAnsi="宋体" w:cs="宋体" w:hint="eastAsia"/>
          <w:kern w:val="2"/>
          <w:sz w:val="28"/>
          <w:szCs w:val="28"/>
        </w:rPr>
        <w:t>祥会议讲话：“</w:t>
      </w:r>
      <w:r w:rsidR="006274BF" w:rsidRPr="006274BF">
        <w:rPr>
          <w:rFonts w:ascii="宋体" w:eastAsia="宋体" w:hAnsi="宋体" w:cs="宋体" w:hint="eastAsia"/>
          <w:kern w:val="2"/>
          <w:sz w:val="28"/>
          <w:szCs w:val="28"/>
        </w:rPr>
        <w:t>要辩证理解平等保护原则。要全面平等保护各种所有制经济、各类市场主体的合法权益, 做到平等相待、一视同仁。同时要将平等保护与倾斜保护结合起来, 对中小股东、金融消费者等特殊群体的倾斜保护, 是对平等保护原则的必要补充。只有加大对特殊群体</w:t>
      </w:r>
      <w:r w:rsidR="006274BF">
        <w:rPr>
          <w:rFonts w:ascii="宋体" w:eastAsia="宋体" w:hAnsi="宋体" w:cs="宋体" w:hint="eastAsia"/>
          <w:kern w:val="2"/>
          <w:sz w:val="28"/>
          <w:szCs w:val="28"/>
        </w:rPr>
        <w:t>的保护，才能有效解决违法违规成本过低的问题，维护正常交易秩序。”，结合两个案例，强调了</w:t>
      </w:r>
      <w:r w:rsidR="00891662">
        <w:rPr>
          <w:rFonts w:ascii="宋体" w:eastAsia="宋体" w:hAnsi="宋体" w:cs="宋体" w:hint="eastAsia"/>
          <w:kern w:val="2"/>
          <w:sz w:val="28"/>
          <w:szCs w:val="28"/>
        </w:rPr>
        <w:t>适当性义务是信义义务的要求，信义义务要求金融机构“忠实”、“勤勉”，将金融消费者利益置于自身利益之上，信义义务超越合同义务，对期货公司提出更高要求。</w:t>
      </w:r>
    </w:p>
    <w:p w:rsidR="00596F76" w:rsidRDefault="00596F76" w:rsidP="00596F76">
      <w:pPr>
        <w:ind w:firstLineChars="200" w:firstLine="560"/>
        <w:rPr>
          <w:rFonts w:ascii="宋体" w:eastAsia="宋体" w:hAnsi="宋体" w:cs="宋体"/>
          <w:sz w:val="28"/>
          <w:szCs w:val="28"/>
        </w:rPr>
      </w:pPr>
      <w:r>
        <w:rPr>
          <w:rFonts w:ascii="宋体" w:eastAsia="宋体" w:hAnsi="宋体" w:cs="宋体" w:hint="eastAsia"/>
          <w:sz w:val="28"/>
          <w:szCs w:val="28"/>
        </w:rPr>
        <w:t>银河期货首席风险官韩笑冰重点解读了2</w:t>
      </w:r>
      <w:r>
        <w:rPr>
          <w:rFonts w:ascii="宋体" w:eastAsia="宋体" w:hAnsi="宋体" w:cs="宋体"/>
          <w:sz w:val="28"/>
          <w:szCs w:val="28"/>
        </w:rPr>
        <w:t>019年</w:t>
      </w:r>
      <w:r>
        <w:rPr>
          <w:rFonts w:ascii="宋体" w:eastAsia="宋体" w:hAnsi="宋体" w:cs="宋体" w:hint="eastAsia"/>
          <w:sz w:val="28"/>
          <w:szCs w:val="28"/>
        </w:rPr>
        <w:t>2月中国证监会发布的修订后的《期货公司分类监管规定》，总结了分类评价扣分问题的成因，主要包括内部情况报告不及时、分支机构重业务轻合规、合规内审人才紧缺、责任划分不明确等。韩总强调，期货公司传统业务竞争白热化和创新业务快速发展对合规工作产生巨大挑战，</w:t>
      </w:r>
      <w:r w:rsidRPr="00EA427F">
        <w:rPr>
          <w:rFonts w:ascii="宋体" w:eastAsia="宋体" w:hAnsi="宋体" w:cs="宋体" w:hint="eastAsia"/>
          <w:sz w:val="28"/>
          <w:szCs w:val="28"/>
        </w:rPr>
        <w:t>期货公司应当进一步加强合规队伍建设</w:t>
      </w:r>
      <w:r>
        <w:rPr>
          <w:rFonts w:ascii="宋体" w:eastAsia="宋体" w:hAnsi="宋体" w:cs="宋体" w:hint="eastAsia"/>
          <w:sz w:val="28"/>
          <w:szCs w:val="28"/>
        </w:rPr>
        <w:t>、合规制度建设</w:t>
      </w:r>
      <w:r w:rsidRPr="00EA427F">
        <w:rPr>
          <w:rFonts w:ascii="宋体" w:eastAsia="宋体" w:hAnsi="宋体" w:cs="宋体" w:hint="eastAsia"/>
          <w:sz w:val="28"/>
          <w:szCs w:val="28"/>
        </w:rPr>
        <w:t>和合规文化建设。</w:t>
      </w:r>
    </w:p>
    <w:p w:rsidR="00BC7298" w:rsidRDefault="00BC7844">
      <w:pPr>
        <w:ind w:firstLineChars="200" w:firstLine="560"/>
        <w:rPr>
          <w:rFonts w:ascii="宋体" w:eastAsia="宋体" w:hAnsi="宋体" w:cs="宋体"/>
          <w:sz w:val="28"/>
          <w:szCs w:val="28"/>
        </w:rPr>
      </w:pPr>
      <w:r>
        <w:rPr>
          <w:rFonts w:ascii="宋体" w:eastAsia="宋体" w:hAnsi="宋体" w:cs="宋体" w:hint="eastAsia"/>
          <w:sz w:val="28"/>
          <w:szCs w:val="28"/>
        </w:rPr>
        <w:t>黄坤处长</w:t>
      </w:r>
      <w:r w:rsidR="00891662">
        <w:rPr>
          <w:rFonts w:ascii="宋体" w:eastAsia="宋体" w:hAnsi="宋体" w:cs="宋体" w:hint="eastAsia"/>
          <w:sz w:val="28"/>
          <w:szCs w:val="28"/>
        </w:rPr>
        <w:t>在讲话中希望各家公司要加强合规意识，重视</w:t>
      </w:r>
      <w:r>
        <w:rPr>
          <w:rFonts w:ascii="宋体" w:eastAsia="宋体" w:hAnsi="宋体" w:cs="宋体" w:hint="eastAsia"/>
          <w:sz w:val="28"/>
          <w:szCs w:val="28"/>
        </w:rPr>
        <w:t>分类评价工作，</w:t>
      </w:r>
      <w:r w:rsidR="00891662">
        <w:rPr>
          <w:rFonts w:ascii="宋体" w:eastAsia="宋体" w:hAnsi="宋体" w:cs="宋体" w:hint="eastAsia"/>
          <w:sz w:val="28"/>
          <w:szCs w:val="28"/>
        </w:rPr>
        <w:t>通过以评促建，以评促改，全面提升</w:t>
      </w:r>
      <w:r w:rsidR="00E442DB">
        <w:rPr>
          <w:rFonts w:ascii="宋体" w:eastAsia="宋体" w:hAnsi="宋体" w:cs="宋体" w:hint="eastAsia"/>
          <w:sz w:val="28"/>
          <w:szCs w:val="28"/>
        </w:rPr>
        <w:t>公司竞争力。参会首风也与监管领导交流了各自公司在分类评价工作中遇到的问题和想法。商会将充分结合监管和会员提出的要求和需求，关注北京地区期货公司分类评价结果，优化下一步工作计划，从而更好地助力监管、服务会员。</w:t>
      </w:r>
      <w:bookmarkStart w:id="0" w:name="_GoBack"/>
      <w:bookmarkEnd w:id="0"/>
    </w:p>
    <w:p w:rsidR="00BC7298" w:rsidRDefault="00D956C8">
      <w:r>
        <w:rPr>
          <w:noProof/>
        </w:rPr>
        <w:lastRenderedPageBreak/>
        <w:drawing>
          <wp:inline distT="0" distB="0" distL="114300" distR="114300">
            <wp:extent cx="5268595" cy="3505200"/>
            <wp:effectExtent l="0" t="0" r="8255" b="0"/>
            <wp:docPr id="2" name="图片 2" descr="IMG_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1461"/>
                    <pic:cNvPicPr>
                      <a:picLocks noChangeAspect="1"/>
                    </pic:cNvPicPr>
                  </pic:nvPicPr>
                  <pic:blipFill>
                    <a:blip r:embed="rId7"/>
                    <a:stretch>
                      <a:fillRect/>
                    </a:stretch>
                  </pic:blipFill>
                  <pic:spPr>
                    <a:xfrm>
                      <a:off x="0" y="0"/>
                      <a:ext cx="5268595" cy="3505200"/>
                    </a:xfrm>
                    <a:prstGeom prst="rect">
                      <a:avLst/>
                    </a:prstGeom>
                  </pic:spPr>
                </pic:pic>
              </a:graphicData>
            </a:graphic>
          </wp:inline>
        </w:drawing>
      </w:r>
    </w:p>
    <w:sectPr w:rsidR="00BC7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C0" w:rsidRDefault="005C56C0" w:rsidP="00DD6C85">
      <w:r>
        <w:separator/>
      </w:r>
    </w:p>
  </w:endnote>
  <w:endnote w:type="continuationSeparator" w:id="0">
    <w:p w:rsidR="005C56C0" w:rsidRDefault="005C56C0" w:rsidP="00DD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C0" w:rsidRDefault="005C56C0" w:rsidP="00DD6C85">
      <w:r>
        <w:separator/>
      </w:r>
    </w:p>
  </w:footnote>
  <w:footnote w:type="continuationSeparator" w:id="0">
    <w:p w:rsidR="005C56C0" w:rsidRDefault="005C56C0" w:rsidP="00DD6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9788F"/>
    <w:rsid w:val="000B5519"/>
    <w:rsid w:val="001D125B"/>
    <w:rsid w:val="00323B91"/>
    <w:rsid w:val="00596F76"/>
    <w:rsid w:val="005C56C0"/>
    <w:rsid w:val="006274BF"/>
    <w:rsid w:val="0068768F"/>
    <w:rsid w:val="00891662"/>
    <w:rsid w:val="009B4C18"/>
    <w:rsid w:val="00B64648"/>
    <w:rsid w:val="00BC7298"/>
    <w:rsid w:val="00BC7844"/>
    <w:rsid w:val="00D956C8"/>
    <w:rsid w:val="00DD6C85"/>
    <w:rsid w:val="00E442DB"/>
    <w:rsid w:val="03117C11"/>
    <w:rsid w:val="03A16E12"/>
    <w:rsid w:val="06B433EB"/>
    <w:rsid w:val="06EA40A2"/>
    <w:rsid w:val="081B6528"/>
    <w:rsid w:val="0BD9788F"/>
    <w:rsid w:val="0C5060A3"/>
    <w:rsid w:val="127D4CDE"/>
    <w:rsid w:val="13C032F3"/>
    <w:rsid w:val="14021690"/>
    <w:rsid w:val="15B740DB"/>
    <w:rsid w:val="1B413092"/>
    <w:rsid w:val="204F3BF6"/>
    <w:rsid w:val="21DA3BC1"/>
    <w:rsid w:val="23576146"/>
    <w:rsid w:val="26F42380"/>
    <w:rsid w:val="28AA05A2"/>
    <w:rsid w:val="2E347247"/>
    <w:rsid w:val="2F2A03C4"/>
    <w:rsid w:val="31663522"/>
    <w:rsid w:val="331834C5"/>
    <w:rsid w:val="35D9345E"/>
    <w:rsid w:val="382E5D6C"/>
    <w:rsid w:val="3A306F67"/>
    <w:rsid w:val="53470497"/>
    <w:rsid w:val="55682D1B"/>
    <w:rsid w:val="58387231"/>
    <w:rsid w:val="662A51C6"/>
    <w:rsid w:val="70BB4D7A"/>
    <w:rsid w:val="7ACF5E07"/>
    <w:rsid w:val="7B67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4E0F0-5448-4269-BB6A-52064BF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rPr>
      <w:color w:val="333333"/>
      <w:u w:val="none"/>
    </w:rPr>
  </w:style>
  <w:style w:type="character" w:styleId="a5">
    <w:name w:val="Hyperlink"/>
    <w:basedOn w:val="a0"/>
    <w:rPr>
      <w:color w:val="333333"/>
      <w:u w:val="none"/>
    </w:rPr>
  </w:style>
  <w:style w:type="character" w:customStyle="1" w:styleId="disabled">
    <w:name w:val="disabled"/>
    <w:basedOn w:val="a0"/>
    <w:rPr>
      <w:color w:val="888888"/>
    </w:rPr>
  </w:style>
  <w:style w:type="paragraph" w:styleId="a6">
    <w:name w:val="header"/>
    <w:basedOn w:val="a"/>
    <w:link w:val="Char"/>
    <w:rsid w:val="00DD6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D6C85"/>
    <w:rPr>
      <w:rFonts w:asciiTheme="minorHAnsi" w:eastAsiaTheme="minorEastAsia" w:hAnsiTheme="minorHAnsi" w:cstheme="minorBidi"/>
      <w:kern w:val="2"/>
      <w:sz w:val="18"/>
      <w:szCs w:val="18"/>
    </w:rPr>
  </w:style>
  <w:style w:type="paragraph" w:styleId="a7">
    <w:name w:val="footer"/>
    <w:basedOn w:val="a"/>
    <w:link w:val="Char0"/>
    <w:rsid w:val="00DD6C85"/>
    <w:pPr>
      <w:tabs>
        <w:tab w:val="center" w:pos="4153"/>
        <w:tab w:val="right" w:pos="8306"/>
      </w:tabs>
      <w:snapToGrid w:val="0"/>
      <w:jc w:val="left"/>
    </w:pPr>
    <w:rPr>
      <w:sz w:val="18"/>
      <w:szCs w:val="18"/>
    </w:rPr>
  </w:style>
  <w:style w:type="character" w:customStyle="1" w:styleId="Char0">
    <w:name w:val="页脚 Char"/>
    <w:basedOn w:val="a0"/>
    <w:link w:val="a7"/>
    <w:rsid w:val="00DD6C8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木九里</dc:creator>
  <cp:lastModifiedBy>zhang kevin</cp:lastModifiedBy>
  <cp:revision>7</cp:revision>
  <dcterms:created xsi:type="dcterms:W3CDTF">2020-07-01T07:44:00Z</dcterms:created>
  <dcterms:modified xsi:type="dcterms:W3CDTF">2020-09-22T01:16:00Z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